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C" w:rsidRPr="00771436" w:rsidRDefault="007860CC" w:rsidP="007860CC">
      <w:pPr>
        <w:jc w:val="center"/>
        <w:rPr>
          <w:rFonts w:ascii="Times New Roman" w:eastAsia="華康細圓體" w:hAnsi="Times New Roman"/>
          <w:b/>
          <w:sz w:val="30"/>
          <w:szCs w:val="30"/>
        </w:rPr>
      </w:pPr>
      <w:r w:rsidRPr="00771436">
        <w:rPr>
          <w:rFonts w:ascii="Times New Roman" w:eastAsia="華康細圓體" w:hint="eastAsia"/>
          <w:b/>
          <w:sz w:val="30"/>
          <w:szCs w:val="30"/>
        </w:rPr>
        <w:t>臺中市立沙鹿高工</w:t>
      </w:r>
      <w:r w:rsidRPr="00771436">
        <w:rPr>
          <w:rFonts w:ascii="Times New Roman" w:eastAsia="華康細圓體" w:hAnsi="Times New Roman" w:hint="eastAsia"/>
          <w:b/>
          <w:sz w:val="30"/>
          <w:szCs w:val="30"/>
        </w:rPr>
        <w:t>10</w:t>
      </w:r>
      <w:r w:rsidR="003B2453">
        <w:rPr>
          <w:rFonts w:ascii="Times New Roman" w:eastAsia="華康細圓體" w:hAnsi="Times New Roman" w:hint="eastAsia"/>
          <w:b/>
          <w:sz w:val="30"/>
          <w:szCs w:val="30"/>
        </w:rPr>
        <w:t>9</w:t>
      </w:r>
      <w:r w:rsidRPr="00771436">
        <w:rPr>
          <w:rFonts w:ascii="Times New Roman" w:eastAsia="華康細圓體" w:hint="eastAsia"/>
          <w:b/>
          <w:sz w:val="30"/>
          <w:szCs w:val="30"/>
        </w:rPr>
        <w:t>學年度第</w:t>
      </w:r>
      <w:r w:rsidR="003B2453">
        <w:rPr>
          <w:rFonts w:ascii="Times New Roman" w:eastAsia="華康細圓體" w:hint="eastAsia"/>
          <w:b/>
          <w:sz w:val="30"/>
          <w:szCs w:val="30"/>
        </w:rPr>
        <w:t>一</w:t>
      </w:r>
      <w:r w:rsidRPr="00771436">
        <w:rPr>
          <w:rFonts w:ascii="Times New Roman" w:eastAsia="華康細圓體" w:hint="eastAsia"/>
          <w:b/>
          <w:sz w:val="30"/>
          <w:szCs w:val="30"/>
        </w:rPr>
        <w:t>學期機械科實習工場安全衛生守則教育</w:t>
      </w:r>
      <w:r w:rsidR="00AA6C9C" w:rsidRPr="00771436">
        <w:rPr>
          <w:rFonts w:ascii="Times New Roman" w:eastAsia="華康細圓體" w:hint="eastAsia"/>
          <w:b/>
          <w:sz w:val="30"/>
          <w:szCs w:val="30"/>
        </w:rPr>
        <w:t>宣導</w:t>
      </w:r>
    </w:p>
    <w:tbl>
      <w:tblPr>
        <w:tblStyle w:val="a3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5494"/>
        <w:gridCol w:w="5494"/>
      </w:tblGrid>
      <w:tr w:rsidR="007860CC" w:rsidRPr="00771436" w:rsidTr="00771436">
        <w:tc>
          <w:tcPr>
            <w:tcW w:w="5000" w:type="pct"/>
            <w:gridSpan w:val="2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  <w:b/>
              </w:rPr>
            </w:pPr>
            <w:r w:rsidRPr="00771436">
              <w:rPr>
                <w:rFonts w:ascii="Times New Roman" w:eastAsia="華康細圓體" w:hint="eastAsia"/>
                <w:b/>
              </w:rPr>
              <w:t>一、一般安全：</w:t>
            </w:r>
          </w:p>
        </w:tc>
      </w:tr>
      <w:tr w:rsidR="007860CC" w:rsidRPr="00771436" w:rsidTr="00771436">
        <w:tc>
          <w:tcPr>
            <w:tcW w:w="25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1.</w:t>
            </w:r>
            <w:r w:rsidRPr="00771436">
              <w:rPr>
                <w:rFonts w:ascii="Times New Roman" w:eastAsia="華康細圓體" w:hint="eastAsia"/>
              </w:rPr>
              <w:t>操作前先想一想，如有疑難，先發問請教。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2.</w:t>
            </w:r>
            <w:r w:rsidRPr="00771436">
              <w:rPr>
                <w:rFonts w:ascii="Times New Roman" w:eastAsia="華康細圓體" w:hint="eastAsia"/>
              </w:rPr>
              <w:t>實習場所內勿追足嬉戲。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3.</w:t>
            </w:r>
            <w:r w:rsidRPr="00771436">
              <w:rPr>
                <w:rFonts w:ascii="Times New Roman" w:eastAsia="華康細圓體" w:hint="eastAsia"/>
              </w:rPr>
              <w:t>進出口、走道保持整潔暢通，勿堆積物品、廢物。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4.</w:t>
            </w:r>
            <w:r w:rsidRPr="00771436">
              <w:rPr>
                <w:rFonts w:ascii="Times New Roman" w:eastAsia="華康細圓體" w:hint="eastAsia"/>
              </w:rPr>
              <w:t>非經允許，不可私自開動機器設備。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5.</w:t>
            </w:r>
            <w:r w:rsidRPr="00771436">
              <w:rPr>
                <w:rFonts w:ascii="Times New Roman" w:eastAsia="華康細圓體" w:hint="eastAsia"/>
              </w:rPr>
              <w:t>勿靠近懸吊物下方走動或工作。</w:t>
            </w:r>
          </w:p>
        </w:tc>
        <w:tc>
          <w:tcPr>
            <w:tcW w:w="25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ind w:left="185" w:hangingChars="77" w:hanging="185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6.</w:t>
            </w:r>
            <w:r w:rsidRPr="00771436">
              <w:rPr>
                <w:rFonts w:ascii="Times New Roman" w:eastAsia="華康細圓體" w:hint="eastAsia"/>
              </w:rPr>
              <w:t>先了解消防器材的位置及其使用方法，並作定期檢查或調整。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7.</w:t>
            </w:r>
            <w:r w:rsidRPr="00771436">
              <w:rPr>
                <w:rFonts w:ascii="Times New Roman" w:eastAsia="華康細圓體" w:hint="eastAsia"/>
              </w:rPr>
              <w:t>發生意外應立即報告，勿擅自處理。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8.</w:t>
            </w:r>
            <w:r w:rsidRPr="00771436">
              <w:rPr>
                <w:rFonts w:ascii="Times New Roman" w:eastAsia="華康細圓體" w:hint="eastAsia"/>
              </w:rPr>
              <w:t>廢料、油布、垃圾應分別置於一定場所。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9.</w:t>
            </w:r>
            <w:r w:rsidRPr="00771436">
              <w:rPr>
                <w:rFonts w:ascii="Times New Roman" w:eastAsia="華康細圓體" w:hint="eastAsia"/>
              </w:rPr>
              <w:t>急救箱應定期檢查並補充。</w:t>
            </w:r>
          </w:p>
        </w:tc>
      </w:tr>
      <w:tr w:rsidR="007860CC" w:rsidRPr="00771436" w:rsidTr="00771436">
        <w:tc>
          <w:tcPr>
            <w:tcW w:w="5000" w:type="pct"/>
            <w:gridSpan w:val="2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  <w:b/>
              </w:rPr>
            </w:pPr>
            <w:r w:rsidRPr="00771436">
              <w:rPr>
                <w:rFonts w:ascii="Times New Roman" w:eastAsia="華康細圓體" w:hint="eastAsia"/>
                <w:b/>
              </w:rPr>
              <w:t>二、人員安全</w:t>
            </w:r>
            <w:r w:rsidRPr="00771436">
              <w:rPr>
                <w:rFonts w:ascii="Times New Roman" w:eastAsia="華康細圓體" w:hAnsi="Times New Roman" w:hint="eastAsia"/>
                <w:b/>
              </w:rPr>
              <w:t xml:space="preserve"> :</w:t>
            </w:r>
          </w:p>
        </w:tc>
      </w:tr>
      <w:tr w:rsidR="007860CC" w:rsidRPr="00771436" w:rsidTr="00771436">
        <w:tc>
          <w:tcPr>
            <w:tcW w:w="25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ind w:left="142" w:hangingChars="59" w:hanging="142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1.</w:t>
            </w:r>
            <w:r w:rsidRPr="00771436">
              <w:rPr>
                <w:rFonts w:ascii="Times New Roman" w:eastAsia="華康細圓體" w:hint="eastAsia"/>
              </w:rPr>
              <w:t>遵守安全規則及信號。</w:t>
            </w:r>
          </w:p>
          <w:p w:rsidR="007860CC" w:rsidRPr="00771436" w:rsidRDefault="007860CC" w:rsidP="00AA6C9C">
            <w:pPr>
              <w:spacing w:line="360" w:lineRule="exact"/>
              <w:ind w:left="142" w:hangingChars="59" w:hanging="142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2.</w:t>
            </w:r>
            <w:r w:rsidRPr="00771436">
              <w:rPr>
                <w:rFonts w:ascii="Times New Roman" w:eastAsia="華康細圓體" w:hint="eastAsia"/>
              </w:rPr>
              <w:t>操作轉動機具時，勿戴手套。</w:t>
            </w:r>
          </w:p>
          <w:p w:rsidR="007860CC" w:rsidRPr="00771436" w:rsidRDefault="007860CC" w:rsidP="00AA6C9C">
            <w:pPr>
              <w:spacing w:line="360" w:lineRule="exact"/>
              <w:ind w:left="142" w:hangingChars="59" w:hanging="142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3.</w:t>
            </w:r>
            <w:r w:rsidRPr="00771436">
              <w:rPr>
                <w:rFonts w:ascii="Times New Roman" w:eastAsia="華康細圓體" w:hint="eastAsia"/>
              </w:rPr>
              <w:t>工作時穿著合身的工作服，扣好衣帶、鈕釦等並保持整潔。</w:t>
            </w:r>
          </w:p>
        </w:tc>
        <w:tc>
          <w:tcPr>
            <w:tcW w:w="25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4.</w:t>
            </w:r>
            <w:r w:rsidRPr="00771436">
              <w:rPr>
                <w:rFonts w:ascii="Times New Roman" w:eastAsia="華康細圓體" w:hint="eastAsia"/>
              </w:rPr>
              <w:t>別人操作機器時，勿與之交談。</w:t>
            </w:r>
          </w:p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5.</w:t>
            </w:r>
            <w:r w:rsidRPr="00771436">
              <w:rPr>
                <w:rFonts w:ascii="Times New Roman" w:eastAsia="華康細圓體" w:hint="eastAsia"/>
              </w:rPr>
              <w:t>如有傷害時，均應迅速處理與治療。</w:t>
            </w:r>
          </w:p>
          <w:p w:rsidR="007860CC" w:rsidRPr="00771436" w:rsidRDefault="007860CC" w:rsidP="00AA6C9C">
            <w:pPr>
              <w:spacing w:line="360" w:lineRule="exact"/>
              <w:ind w:left="113" w:hangingChars="47" w:hanging="113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6.</w:t>
            </w:r>
            <w:r w:rsidRPr="00771436">
              <w:rPr>
                <w:rFonts w:ascii="Times New Roman" w:eastAsia="華康細圓體" w:hint="eastAsia"/>
              </w:rPr>
              <w:t>工作時穿戴安全防護具，如安全帽、安全眼鏡、安全手套、安全鞋等。</w:t>
            </w:r>
          </w:p>
        </w:tc>
      </w:tr>
      <w:tr w:rsidR="007860CC" w:rsidRPr="00771436" w:rsidTr="00771436">
        <w:tc>
          <w:tcPr>
            <w:tcW w:w="5000" w:type="pct"/>
            <w:gridSpan w:val="2"/>
            <w:tcBorders>
              <w:top w:val="single" w:sz="12" w:space="0" w:color="000000" w:themeColor="text1"/>
              <w:bottom w:val="single" w:sz="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  <w:b/>
              </w:rPr>
            </w:pPr>
            <w:r w:rsidRPr="00771436">
              <w:rPr>
                <w:rFonts w:ascii="Times New Roman" w:eastAsia="華康細圓體" w:hint="eastAsia"/>
                <w:b/>
              </w:rPr>
              <w:t>三、機具設備安全：</w:t>
            </w:r>
          </w:p>
        </w:tc>
      </w:tr>
      <w:tr w:rsidR="007860CC" w:rsidRPr="00771436" w:rsidTr="00771436">
        <w:tc>
          <w:tcPr>
            <w:tcW w:w="25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1.</w:t>
            </w:r>
            <w:r w:rsidRPr="00771436">
              <w:rPr>
                <w:rFonts w:ascii="Times New Roman" w:eastAsia="華康細圓體" w:hint="eastAsia"/>
              </w:rPr>
              <w:t>開動機器前，應先瞭解該機器性能及如何停止。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2.</w:t>
            </w:r>
            <w:r w:rsidRPr="00771436">
              <w:rPr>
                <w:rFonts w:ascii="Times New Roman" w:eastAsia="華康細圓體" w:hint="eastAsia"/>
              </w:rPr>
              <w:t>所有護罩使用前後應放置定位。</w:t>
            </w:r>
          </w:p>
          <w:p w:rsidR="007860CC" w:rsidRPr="00771436" w:rsidRDefault="007860CC" w:rsidP="00AA6C9C">
            <w:pPr>
              <w:spacing w:line="360" w:lineRule="exact"/>
              <w:ind w:left="142" w:hangingChars="59" w:hanging="142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3.</w:t>
            </w:r>
            <w:r w:rsidRPr="00771436">
              <w:rPr>
                <w:rFonts w:ascii="Times New Roman" w:eastAsia="華康細圓體" w:hint="eastAsia"/>
              </w:rPr>
              <w:t>保持機器清潔與良好狀況，如有故障，立即關掉電源，並向教師報告。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4.</w:t>
            </w:r>
            <w:r w:rsidRPr="00771436">
              <w:rPr>
                <w:rFonts w:ascii="Times New Roman" w:eastAsia="華康細圓體" w:hint="eastAsia"/>
              </w:rPr>
              <w:t>機器運轉中，切勿清理、調整或修理。</w:t>
            </w:r>
          </w:p>
        </w:tc>
        <w:tc>
          <w:tcPr>
            <w:tcW w:w="2500" w:type="pct"/>
            <w:tcBorders>
              <w:top w:val="single" w:sz="2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ind w:left="199" w:hangingChars="83" w:hanging="199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5.</w:t>
            </w:r>
            <w:r w:rsidRPr="00771436">
              <w:rPr>
                <w:rFonts w:ascii="Times New Roman" w:eastAsia="華康細圓體" w:hint="eastAsia"/>
              </w:rPr>
              <w:t>未獲得教師或管理人員之允許，切勿啟動或操作任何機器。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6.</w:t>
            </w:r>
            <w:r w:rsidRPr="00771436">
              <w:rPr>
                <w:rFonts w:ascii="Times New Roman" w:eastAsia="華康細圓體" w:hint="eastAsia"/>
              </w:rPr>
              <w:t>機器設備使用完，須將各操作桿放回原來位置。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7.</w:t>
            </w:r>
            <w:r w:rsidRPr="00771436">
              <w:rPr>
                <w:rFonts w:ascii="Times New Roman" w:eastAsia="華康細圓體" w:hint="eastAsia"/>
              </w:rPr>
              <w:t>關閉動力電鈕後須俟機器確實停止，才可離去。</w:t>
            </w:r>
          </w:p>
          <w:p w:rsidR="007860CC" w:rsidRPr="00771436" w:rsidRDefault="007860CC" w:rsidP="00AA6C9C">
            <w:pPr>
              <w:spacing w:line="36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8.</w:t>
            </w:r>
            <w:r w:rsidRPr="00771436">
              <w:rPr>
                <w:rFonts w:ascii="Times New Roman" w:eastAsia="華康細圓體" w:hint="eastAsia"/>
              </w:rPr>
              <w:t>轉動中的機具，切勿以手或身體試圖停止。</w:t>
            </w:r>
          </w:p>
        </w:tc>
      </w:tr>
      <w:tr w:rsidR="007860CC" w:rsidRPr="00771436" w:rsidTr="00771436">
        <w:tc>
          <w:tcPr>
            <w:tcW w:w="5000" w:type="pct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  <w:b/>
              </w:rPr>
            </w:pPr>
            <w:r w:rsidRPr="00771436">
              <w:rPr>
                <w:rFonts w:ascii="Times New Roman" w:eastAsia="華康細圓體" w:hint="eastAsia"/>
                <w:b/>
              </w:rPr>
              <w:t>四、易燃物品安全：</w:t>
            </w:r>
          </w:p>
        </w:tc>
      </w:tr>
      <w:tr w:rsidR="007860CC" w:rsidRPr="00771436" w:rsidTr="00771436">
        <w:tc>
          <w:tcPr>
            <w:tcW w:w="2500" w:type="pct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1.</w:t>
            </w:r>
            <w:r w:rsidRPr="00771436">
              <w:rPr>
                <w:rFonts w:ascii="Times New Roman" w:eastAsia="華康細圓體" w:hint="eastAsia"/>
              </w:rPr>
              <w:t>易燃氣體及液體應放置於安全處所。</w:t>
            </w:r>
          </w:p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2.</w:t>
            </w:r>
            <w:r w:rsidRPr="00771436">
              <w:rPr>
                <w:rFonts w:ascii="Times New Roman" w:eastAsia="華康細圓體" w:hint="eastAsia"/>
              </w:rPr>
              <w:t>存放易燃物的地面周圍，勿有油漬。</w:t>
            </w:r>
          </w:p>
          <w:p w:rsidR="007860CC" w:rsidRPr="00771436" w:rsidRDefault="007860CC" w:rsidP="00AA6C9C">
            <w:pPr>
              <w:spacing w:line="360" w:lineRule="exact"/>
              <w:ind w:left="194" w:hangingChars="81" w:hanging="194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3.</w:t>
            </w:r>
            <w:r w:rsidRPr="00771436">
              <w:rPr>
                <w:rFonts w:ascii="Times New Roman" w:eastAsia="華康細圓體" w:hint="eastAsia"/>
              </w:rPr>
              <w:t>使用氣體、液體燃料時，應先檢查其輸送系統及各部門是否有漏氣或漏油，以免發生火警。</w:t>
            </w:r>
          </w:p>
        </w:tc>
        <w:tc>
          <w:tcPr>
            <w:tcW w:w="2500" w:type="pct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4.</w:t>
            </w:r>
            <w:r w:rsidRPr="00771436">
              <w:rPr>
                <w:rFonts w:ascii="Times New Roman" w:eastAsia="華康細圓體" w:hint="eastAsia"/>
              </w:rPr>
              <w:t>切勿在易燃物周圍點火。</w:t>
            </w:r>
          </w:p>
          <w:p w:rsidR="007860CC" w:rsidRPr="00771436" w:rsidRDefault="007860CC" w:rsidP="00AA6C9C">
            <w:pPr>
              <w:spacing w:line="360" w:lineRule="exact"/>
              <w:ind w:left="175" w:hangingChars="73" w:hanging="175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5.</w:t>
            </w:r>
            <w:r w:rsidRPr="00771436">
              <w:rPr>
                <w:rFonts w:ascii="Times New Roman" w:eastAsia="華康細圓體" w:hint="eastAsia"/>
              </w:rPr>
              <w:t>易燃物使用完畢後，應立關閉分支及總開關，並檢查有無洩漏情形。</w:t>
            </w:r>
          </w:p>
        </w:tc>
      </w:tr>
      <w:tr w:rsidR="007860CC" w:rsidRPr="00771436" w:rsidTr="00771436">
        <w:tc>
          <w:tcPr>
            <w:tcW w:w="5000" w:type="pct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  <w:b/>
              </w:rPr>
            </w:pPr>
            <w:r w:rsidRPr="00771436">
              <w:rPr>
                <w:rFonts w:ascii="Times New Roman" w:eastAsia="華康細圓體" w:hint="eastAsia"/>
                <w:b/>
              </w:rPr>
              <w:t>五、電器設備工作安全：</w:t>
            </w:r>
          </w:p>
        </w:tc>
      </w:tr>
      <w:tr w:rsidR="007860CC" w:rsidRPr="00771436" w:rsidTr="00771436">
        <w:tc>
          <w:tcPr>
            <w:tcW w:w="2500" w:type="pct"/>
            <w:tcBorders>
              <w:top w:val="single" w:sz="4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ind w:left="168" w:hangingChars="70" w:hanging="168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1.</w:t>
            </w:r>
            <w:r w:rsidRPr="00771436">
              <w:rPr>
                <w:rFonts w:ascii="Times New Roman" w:eastAsia="華康細圓體" w:hint="eastAsia"/>
              </w:rPr>
              <w:t>場內電器設備發生故障時，非指定人員，一律禁止擅自修理。</w:t>
            </w:r>
          </w:p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2.</w:t>
            </w:r>
            <w:r w:rsidRPr="00771436">
              <w:rPr>
                <w:rFonts w:ascii="Times New Roman" w:eastAsia="華康細圓體" w:hint="eastAsia"/>
              </w:rPr>
              <w:t>電線及電氣絕不攔置物品。</w:t>
            </w:r>
          </w:p>
        </w:tc>
        <w:tc>
          <w:tcPr>
            <w:tcW w:w="2500" w:type="pct"/>
            <w:tcBorders>
              <w:top w:val="single" w:sz="4" w:space="0" w:color="000000" w:themeColor="text1"/>
            </w:tcBorders>
          </w:tcPr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3.</w:t>
            </w:r>
            <w:r w:rsidRPr="00771436">
              <w:rPr>
                <w:rFonts w:ascii="Times New Roman" w:eastAsia="華康細圓體" w:hint="eastAsia"/>
              </w:rPr>
              <w:t>通電前必須通知所有參與工作之人員。</w:t>
            </w:r>
          </w:p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4.</w:t>
            </w:r>
            <w:r w:rsidRPr="00771436">
              <w:rPr>
                <w:rFonts w:ascii="Times New Roman" w:eastAsia="華康細圓體" w:hint="eastAsia"/>
              </w:rPr>
              <w:t>設備安裝時，必注意裝設接地線。</w:t>
            </w:r>
          </w:p>
          <w:p w:rsidR="007860CC" w:rsidRPr="00771436" w:rsidRDefault="007860CC" w:rsidP="00AA6C9C">
            <w:pPr>
              <w:spacing w:line="360" w:lineRule="exact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5.</w:t>
            </w:r>
            <w:r w:rsidRPr="00771436">
              <w:rPr>
                <w:rFonts w:ascii="Times New Roman" w:eastAsia="華康細圓體" w:hint="eastAsia"/>
              </w:rPr>
              <w:t>設備插電前，必先查明保護裝置之正確與否。</w:t>
            </w:r>
          </w:p>
        </w:tc>
      </w:tr>
    </w:tbl>
    <w:p w:rsidR="007860CC" w:rsidRPr="00771436" w:rsidRDefault="007860CC" w:rsidP="007860CC">
      <w:pPr>
        <w:rPr>
          <w:rFonts w:ascii="Times New Roman" w:eastAsia="華康細圓體" w:hAnsi="Times New Roman"/>
        </w:rPr>
      </w:pPr>
    </w:p>
    <w:tbl>
      <w:tblPr>
        <w:tblStyle w:val="a3"/>
        <w:tblW w:w="5000" w:type="pct"/>
        <w:tblLook w:val="04A0"/>
      </w:tblPr>
      <w:tblGrid>
        <w:gridCol w:w="1569"/>
        <w:gridCol w:w="699"/>
        <w:gridCol w:w="870"/>
        <w:gridCol w:w="567"/>
        <w:gridCol w:w="1002"/>
        <w:gridCol w:w="1156"/>
        <w:gridCol w:w="413"/>
        <w:gridCol w:w="211"/>
        <w:gridCol w:w="1358"/>
        <w:gridCol w:w="752"/>
        <w:gridCol w:w="818"/>
        <w:gridCol w:w="1573"/>
      </w:tblGrid>
      <w:tr w:rsidR="00140D91" w:rsidRPr="00771436" w:rsidTr="00AA6C9C">
        <w:trPr>
          <w:trHeight w:val="445"/>
        </w:trPr>
        <w:tc>
          <w:tcPr>
            <w:tcW w:w="295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140D91" w:rsidRPr="00771436" w:rsidRDefault="00140D91" w:rsidP="00140D91">
            <w:pPr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int="eastAsia"/>
              </w:rPr>
              <w:t>實施宣導科目：</w:t>
            </w:r>
          </w:p>
        </w:tc>
        <w:tc>
          <w:tcPr>
            <w:tcW w:w="2048" w:type="pct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140D91">
            <w:pPr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int="eastAsia"/>
              </w:rPr>
              <w:t>實施日期：</w:t>
            </w:r>
            <w:r w:rsidRPr="00771436">
              <w:rPr>
                <w:rFonts w:ascii="Times New Roman" w:eastAsia="華康細圓體" w:hAnsi="Times New Roman" w:hint="eastAsia"/>
              </w:rPr>
              <w:t xml:space="preserve">     /   </w:t>
            </w:r>
            <w:r w:rsidR="00AA6C9C" w:rsidRPr="00771436">
              <w:rPr>
                <w:rFonts w:ascii="Times New Roman" w:eastAsia="華康細圓體" w:hAnsi="Times New Roman" w:hint="eastAsia"/>
              </w:rPr>
              <w:t xml:space="preserve"> </w:t>
            </w:r>
            <w:r w:rsidRPr="00771436">
              <w:rPr>
                <w:rFonts w:ascii="Times New Roman" w:eastAsia="華康細圓體" w:hAnsi="Times New Roman" w:hint="eastAsia"/>
              </w:rPr>
              <w:t xml:space="preserve">  /  </w:t>
            </w:r>
            <w:r w:rsidR="00AA6C9C" w:rsidRPr="00771436">
              <w:rPr>
                <w:rFonts w:ascii="Times New Roman" w:eastAsia="華康細圓體" w:hAnsi="Times New Roman" w:hint="eastAsia"/>
              </w:rPr>
              <w:t xml:space="preserve"> </w:t>
            </w:r>
            <w:r w:rsidRPr="00771436">
              <w:rPr>
                <w:rFonts w:ascii="Times New Roman" w:eastAsia="華康細圓體" w:hAnsi="Times New Roman" w:hint="eastAsia"/>
              </w:rPr>
              <w:t xml:space="preserve">   (  </w:t>
            </w:r>
            <w:r w:rsidR="00AA6C9C" w:rsidRPr="00771436">
              <w:rPr>
                <w:rFonts w:ascii="Times New Roman" w:eastAsia="華康細圓體" w:hAnsi="Times New Roman" w:hint="eastAsia"/>
              </w:rPr>
              <w:t xml:space="preserve"> </w:t>
            </w:r>
            <w:r w:rsidRPr="00771436">
              <w:rPr>
                <w:rFonts w:ascii="Times New Roman" w:eastAsia="華康細圓體" w:hAnsi="Times New Roman" w:hint="eastAsia"/>
              </w:rPr>
              <w:t xml:space="preserve"> )</w:t>
            </w:r>
          </w:p>
        </w:tc>
      </w:tr>
      <w:tr w:rsidR="00140D91" w:rsidRPr="00771436" w:rsidTr="00AA6C9C">
        <w:trPr>
          <w:trHeight w:val="480"/>
        </w:trPr>
        <w:tc>
          <w:tcPr>
            <w:tcW w:w="1032" w:type="pct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int="eastAsia"/>
              </w:rPr>
              <w:t>班級：</w:t>
            </w:r>
          </w:p>
        </w:tc>
        <w:tc>
          <w:tcPr>
            <w:tcW w:w="65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int="eastAsia"/>
              </w:rPr>
              <w:t>任課教師：</w:t>
            </w: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</w:p>
        </w:tc>
        <w:tc>
          <w:tcPr>
            <w:tcW w:w="1244" w:type="pct"/>
            <w:gridSpan w:val="4"/>
            <w:vMerge w:val="restart"/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int="eastAsia"/>
              </w:rPr>
              <w:t>技士</w:t>
            </w:r>
            <w:r w:rsidRPr="00771436">
              <w:rPr>
                <w:rFonts w:ascii="Times New Roman" w:eastAsia="華康細圓體" w:hAnsi="Times New Roman" w:hint="eastAsia"/>
              </w:rPr>
              <w:t>(</w:t>
            </w:r>
            <w:r w:rsidRPr="00771436">
              <w:rPr>
                <w:rFonts w:ascii="Times New Roman" w:eastAsia="華康細圓體" w:hint="eastAsia"/>
              </w:rPr>
              <w:t>佐</w:t>
            </w:r>
            <w:r w:rsidRPr="00771436">
              <w:rPr>
                <w:rFonts w:ascii="Times New Roman" w:eastAsia="華康細圓體" w:hAnsi="Times New Roman" w:hint="eastAsia"/>
              </w:rPr>
              <w:t xml:space="preserve">) </w:t>
            </w:r>
            <w:r w:rsidRPr="00771436">
              <w:rPr>
                <w:rFonts w:ascii="Times New Roman" w:eastAsia="華康細圓體" w:hint="eastAsia"/>
              </w:rPr>
              <w:t>：</w:t>
            </w:r>
          </w:p>
        </w:tc>
        <w:tc>
          <w:tcPr>
            <w:tcW w:w="1088" w:type="pct"/>
            <w:gridSpan w:val="2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int="eastAsia"/>
              </w:rPr>
              <w:t>科主任：</w:t>
            </w:r>
          </w:p>
        </w:tc>
      </w:tr>
      <w:tr w:rsidR="00140D91" w:rsidRPr="00771436" w:rsidTr="00AA6C9C">
        <w:trPr>
          <w:trHeight w:val="443"/>
        </w:trPr>
        <w:tc>
          <w:tcPr>
            <w:tcW w:w="1032" w:type="pct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</w:p>
        </w:tc>
        <w:tc>
          <w:tcPr>
            <w:tcW w:w="65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D91" w:rsidRPr="00771436" w:rsidRDefault="00140D91" w:rsidP="00140D91">
            <w:pPr>
              <w:rPr>
                <w:rFonts w:ascii="Times New Roman" w:eastAsia="華康細圓體" w:hAnsi="Times New Roman"/>
              </w:rPr>
            </w:pPr>
          </w:p>
        </w:tc>
        <w:tc>
          <w:tcPr>
            <w:tcW w:w="1244" w:type="pct"/>
            <w:gridSpan w:val="4"/>
            <w:vMerge/>
            <w:vAlign w:val="center"/>
          </w:tcPr>
          <w:p w:rsidR="00140D91" w:rsidRPr="00771436" w:rsidRDefault="00140D91" w:rsidP="00140D91">
            <w:pPr>
              <w:jc w:val="center"/>
              <w:rPr>
                <w:rFonts w:ascii="Times New Roman" w:eastAsia="華康細圓體" w:hAnsi="Times New Roman"/>
              </w:rPr>
            </w:pPr>
          </w:p>
        </w:tc>
        <w:tc>
          <w:tcPr>
            <w:tcW w:w="1088" w:type="pct"/>
            <w:gridSpan w:val="2"/>
            <w:vMerge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140D91">
            <w:pPr>
              <w:jc w:val="center"/>
              <w:rPr>
                <w:rFonts w:ascii="Times New Roman" w:eastAsia="華康細圓體" w:hAnsi="Times New Roman"/>
              </w:rPr>
            </w:pPr>
          </w:p>
        </w:tc>
      </w:tr>
      <w:tr w:rsidR="00140D91" w:rsidRPr="00771436" w:rsidTr="00AA6C9C">
        <w:trPr>
          <w:trHeight w:hRule="exact" w:val="510"/>
        </w:trPr>
        <w:tc>
          <w:tcPr>
            <w:tcW w:w="714" w:type="pct"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5.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6.</w:t>
            </w:r>
          </w:p>
        </w:tc>
        <w:tc>
          <w:tcPr>
            <w:tcW w:w="716" w:type="pct"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7.</w:t>
            </w:r>
          </w:p>
        </w:tc>
      </w:tr>
      <w:tr w:rsidR="00140D91" w:rsidRPr="00771436" w:rsidTr="00AA6C9C">
        <w:trPr>
          <w:trHeight w:hRule="exact" w:val="510"/>
        </w:trPr>
        <w:tc>
          <w:tcPr>
            <w:tcW w:w="714" w:type="pct"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8.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9.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10.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11.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12.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13.</w:t>
            </w:r>
          </w:p>
        </w:tc>
        <w:tc>
          <w:tcPr>
            <w:tcW w:w="716" w:type="pct"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14.</w:t>
            </w:r>
          </w:p>
        </w:tc>
      </w:tr>
      <w:tr w:rsidR="00140D91" w:rsidRPr="00771436" w:rsidTr="00AA6C9C">
        <w:trPr>
          <w:trHeight w:hRule="exact" w:val="510"/>
        </w:trPr>
        <w:tc>
          <w:tcPr>
            <w:tcW w:w="714" w:type="pct"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15.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16.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17.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18.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19.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20.</w:t>
            </w:r>
          </w:p>
        </w:tc>
        <w:tc>
          <w:tcPr>
            <w:tcW w:w="716" w:type="pct"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21.</w:t>
            </w:r>
          </w:p>
        </w:tc>
      </w:tr>
      <w:tr w:rsidR="00140D91" w:rsidRPr="00771436" w:rsidTr="00AA6C9C">
        <w:trPr>
          <w:trHeight w:hRule="exact" w:val="510"/>
        </w:trPr>
        <w:tc>
          <w:tcPr>
            <w:tcW w:w="714" w:type="pct"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22.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23.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24.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25.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26.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27.</w:t>
            </w:r>
          </w:p>
        </w:tc>
        <w:tc>
          <w:tcPr>
            <w:tcW w:w="716" w:type="pct"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28.</w:t>
            </w:r>
          </w:p>
        </w:tc>
      </w:tr>
      <w:tr w:rsidR="00140D91" w:rsidRPr="00771436" w:rsidTr="00AA6C9C">
        <w:trPr>
          <w:trHeight w:hRule="exact" w:val="510"/>
        </w:trPr>
        <w:tc>
          <w:tcPr>
            <w:tcW w:w="714" w:type="pct"/>
            <w:tcBorders>
              <w:lef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29.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30.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31.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32.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33.</w:t>
            </w:r>
          </w:p>
        </w:tc>
        <w:tc>
          <w:tcPr>
            <w:tcW w:w="714" w:type="pct"/>
            <w:gridSpan w:val="2"/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34.</w:t>
            </w:r>
          </w:p>
        </w:tc>
        <w:tc>
          <w:tcPr>
            <w:tcW w:w="716" w:type="pct"/>
            <w:tcBorders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35.</w:t>
            </w:r>
          </w:p>
        </w:tc>
      </w:tr>
      <w:tr w:rsidR="00140D91" w:rsidRPr="00771436" w:rsidTr="00AA6C9C">
        <w:trPr>
          <w:trHeight w:hRule="exact" w:val="510"/>
        </w:trPr>
        <w:tc>
          <w:tcPr>
            <w:tcW w:w="714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36.</w:t>
            </w:r>
          </w:p>
        </w:tc>
        <w:tc>
          <w:tcPr>
            <w:tcW w:w="714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37.</w:t>
            </w:r>
          </w:p>
        </w:tc>
        <w:tc>
          <w:tcPr>
            <w:tcW w:w="714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38.</w:t>
            </w:r>
          </w:p>
        </w:tc>
        <w:tc>
          <w:tcPr>
            <w:tcW w:w="714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39.</w:t>
            </w:r>
          </w:p>
        </w:tc>
        <w:tc>
          <w:tcPr>
            <w:tcW w:w="714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40.</w:t>
            </w:r>
          </w:p>
        </w:tc>
        <w:tc>
          <w:tcPr>
            <w:tcW w:w="714" w:type="pct"/>
            <w:gridSpan w:val="2"/>
            <w:tcBorders>
              <w:bottom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41.</w:t>
            </w:r>
          </w:p>
        </w:tc>
        <w:tc>
          <w:tcPr>
            <w:tcW w:w="716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0D91" w:rsidRPr="00771436" w:rsidRDefault="00140D91" w:rsidP="00AA6C9C">
            <w:pPr>
              <w:spacing w:line="400" w:lineRule="exact"/>
              <w:jc w:val="both"/>
              <w:rPr>
                <w:rFonts w:ascii="Times New Roman" w:eastAsia="華康細圓體" w:hAnsi="Times New Roman"/>
              </w:rPr>
            </w:pPr>
            <w:r w:rsidRPr="00771436">
              <w:rPr>
                <w:rFonts w:ascii="Times New Roman" w:eastAsia="華康細圓體" w:hAnsi="Times New Roman" w:hint="eastAsia"/>
              </w:rPr>
              <w:t>42.</w:t>
            </w:r>
          </w:p>
        </w:tc>
      </w:tr>
    </w:tbl>
    <w:p w:rsidR="00510E2F" w:rsidRPr="00771436" w:rsidRDefault="00510E2F" w:rsidP="00140D91">
      <w:pPr>
        <w:rPr>
          <w:rFonts w:ascii="Times New Roman" w:eastAsia="華康細圓體" w:hAnsi="Times New Roman"/>
        </w:rPr>
      </w:pPr>
    </w:p>
    <w:sectPr w:rsidR="00510E2F" w:rsidRPr="00771436" w:rsidSect="007860C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B9" w:rsidRDefault="007D27B9" w:rsidP="00AB2252">
      <w:r>
        <w:separator/>
      </w:r>
    </w:p>
  </w:endnote>
  <w:endnote w:type="continuationSeparator" w:id="1">
    <w:p w:rsidR="007D27B9" w:rsidRDefault="007D27B9" w:rsidP="00AB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B9" w:rsidRDefault="007D27B9" w:rsidP="00AB2252">
      <w:r>
        <w:separator/>
      </w:r>
    </w:p>
  </w:footnote>
  <w:footnote w:type="continuationSeparator" w:id="1">
    <w:p w:rsidR="007D27B9" w:rsidRDefault="007D27B9" w:rsidP="00AB2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CC"/>
    <w:rsid w:val="000B0753"/>
    <w:rsid w:val="0010447F"/>
    <w:rsid w:val="00122C68"/>
    <w:rsid w:val="00140D91"/>
    <w:rsid w:val="001658A9"/>
    <w:rsid w:val="003B2453"/>
    <w:rsid w:val="00510E2F"/>
    <w:rsid w:val="00771436"/>
    <w:rsid w:val="007860CC"/>
    <w:rsid w:val="007D27B9"/>
    <w:rsid w:val="0094495A"/>
    <w:rsid w:val="00A634E1"/>
    <w:rsid w:val="00A6504A"/>
    <w:rsid w:val="00A65EED"/>
    <w:rsid w:val="00AA6C9C"/>
    <w:rsid w:val="00AB2252"/>
    <w:rsid w:val="00C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0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2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B22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B2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B22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2020-02-25T00:20:00Z</dcterms:created>
  <dcterms:modified xsi:type="dcterms:W3CDTF">2020-08-28T06:52:00Z</dcterms:modified>
</cp:coreProperties>
</file>